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bCs/>
          <w:sz w:val="28"/>
          <w:szCs w:val="28"/>
          <w:highlight w:val="none"/>
        </w:rPr>
      </w:pPr>
      <w:bookmarkStart w:id="0" w:name="_Toc68167949"/>
      <w:r>
        <w:rPr>
          <w:rFonts w:hint="eastAsia" w:ascii="宋体" w:hAnsi="宋体" w:cs="宋体"/>
          <w:b/>
          <w:bCs/>
          <w:sz w:val="28"/>
          <w:szCs w:val="28"/>
          <w:highlight w:val="none"/>
        </w:rPr>
        <w:t>附件</w:t>
      </w:r>
    </w:p>
    <w:p>
      <w:pPr>
        <w:spacing w:after="156" w:afterLines="50"/>
        <w:rPr>
          <w:rFonts w:hint="eastAsia" w:ascii="宋体" w:hAnsi="宋体" w:cs="宋体"/>
          <w:b/>
          <w:bCs/>
          <w:sz w:val="28"/>
          <w:szCs w:val="28"/>
          <w:highlight w:val="none"/>
        </w:rPr>
      </w:pPr>
      <w:r>
        <w:rPr>
          <w:rFonts w:hint="eastAsia" w:ascii="方正小标宋简体" w:hAnsi="方正小标宋简体" w:eastAsia="方正小标宋简体" w:cs="方正小标宋简体"/>
          <w:sz w:val="32"/>
          <w:szCs w:val="32"/>
          <w:highlight w:val="none"/>
        </w:rPr>
        <w:t>多功能无人机智能水质采样与应急监测系统采购需求</w:t>
      </w:r>
    </w:p>
    <w:bookmarkEnd w:id="0"/>
    <w:p>
      <w:pPr>
        <w:pStyle w:val="8"/>
        <w:keepNext w:val="0"/>
        <w:keepLines w:val="0"/>
        <w:pageBreakBefore w:val="0"/>
        <w:widowControl w:val="0"/>
        <w:kinsoku/>
        <w:wordWrap/>
        <w:overflowPunct/>
        <w:topLinePunct w:val="0"/>
        <w:autoSpaceDE/>
        <w:autoSpaceDN/>
        <w:bidi w:val="0"/>
        <w:spacing w:after="0" w:line="420" w:lineRule="exact"/>
        <w:ind w:firstLine="560" w:firstLineChars="200"/>
        <w:jc w:val="left"/>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一、主要技术指标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（一）水质采样无人机平台</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飞行器：</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最大起飞重量：</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15.8 千克</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最大载重：</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6 千克</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最长飞行时间（无风环境）：</w:t>
      </w:r>
      <w:bookmarkStart w:id="1" w:name="OLE_LINK13"/>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40min</w:t>
      </w:r>
      <w:bookmarkEnd w:id="1"/>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最长悬停时间（无风环境）：</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40min；</w:t>
      </w:r>
      <w:r>
        <w:rPr>
          <w:rFonts w:ascii="仿宋_GB2312" w:hAnsi="仿宋_GB2312" w:eastAsia="仿宋_GB2312" w:cs="仿宋_GB2312"/>
          <w:sz w:val="28"/>
          <w:szCs w:val="28"/>
          <w:highlight w:val="none"/>
        </w:rPr>
        <w:t>最大续航里程（无风环境）：</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40km</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工作环境温度：-20℃ 至 50℃（无太阳辐射）</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GNSS：BeiDou</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4、</w:t>
      </w:r>
      <w:r>
        <w:rPr>
          <w:rFonts w:ascii="仿宋_GB2312" w:hAnsi="仿宋_GB2312" w:eastAsia="仿宋_GB2312" w:cs="仿宋_GB2312"/>
          <w:sz w:val="28"/>
          <w:szCs w:val="28"/>
          <w:highlight w:val="none"/>
        </w:rPr>
        <w:t>悬停精度（无风或微风环境）</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垂直：±0.1 米（视觉定位正常工作时）</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±0.5 米（卫星定位正常工作时）</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±0.1 米（RTK 定位正常工作时）水平：±0.3 米（视觉定位正常工作时）</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±0.5 米（卫星定位正常工作时）</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±0.1 米（RTK 定位正常工作时）</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5、</w:t>
      </w:r>
      <w:r>
        <w:rPr>
          <w:rFonts w:ascii="仿宋_GB2312" w:hAnsi="仿宋_GB2312" w:eastAsia="仿宋_GB2312" w:cs="仿宋_GB2312"/>
          <w:sz w:val="28"/>
          <w:szCs w:val="28"/>
          <w:highlight w:val="none"/>
        </w:rPr>
        <w:t>RTK 定位精度：RTK 固定解：水平：1 厘米 + 1 ppm；垂直：1.5 厘米 + 1 ppm</w:t>
      </w:r>
      <w:r>
        <w:rPr>
          <w:rFonts w:hint="eastAsia" w:ascii="仿宋_GB2312" w:hAnsi="仿宋_GB2312" w:eastAsia="仿宋_GB2312" w:cs="仿宋_GB2312"/>
          <w:sz w:val="28"/>
          <w:szCs w:val="28"/>
          <w:highlight w:val="none"/>
        </w:rPr>
        <w:t>；</w:t>
      </w:r>
      <w:r>
        <w:rPr>
          <w:rFonts w:ascii="仿宋_GB2312" w:hAnsi="仿宋_GB2312" w:eastAsia="仿宋_GB2312" w:cs="仿宋_GB2312"/>
          <w:sz w:val="28"/>
          <w:szCs w:val="28"/>
          <w:highlight w:val="none"/>
        </w:rPr>
        <w:t>RTK 测向：支持，精度 &lt; 2°</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IP 防护等级：</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IP55</w:t>
      </w:r>
      <w:r>
        <w:rPr>
          <w:rFonts w:hint="eastAsia" w:ascii="仿宋_GB2312" w:hAnsi="仿宋_GB2312" w:eastAsia="仿宋_GB2312" w:cs="仿宋_GB2312"/>
          <w:sz w:val="28"/>
          <w:szCs w:val="28"/>
          <w:highlight w:val="none"/>
        </w:rPr>
        <w:t xml:space="preserve">  </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eastAsia="仿宋_GB2312"/>
          <w:highlight w:val="none"/>
          <w:lang w:val="en-US" w:eastAsia="zh-CN"/>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具备全向避障</w:t>
      </w:r>
      <w:r>
        <w:rPr>
          <w:rFonts w:hint="eastAsia" w:ascii="仿宋_GB2312" w:hAnsi="仿宋_GB2312" w:eastAsia="仿宋_GB2312" w:cs="仿宋_GB2312"/>
          <w:sz w:val="28"/>
          <w:szCs w:val="28"/>
          <w:highlight w:val="none"/>
          <w:lang w:val="en-US" w:eastAsia="zh-CN"/>
        </w:rPr>
        <w:t>功能</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云台</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1、单云台组件最大挂载：</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1400 克</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2、双云台组件最大挂载：</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950 克</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3、第三云台支架最大挂载：快拆口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3 千克，螺丝锁付直挂 </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6 千克</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飞行相机：</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1、分辨率：</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1080p</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2、帧率：</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30fps</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3、夜视能力：星光级</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图传：</w:t>
      </w:r>
    </w:p>
    <w:p>
      <w:pPr>
        <w:keepNext w:val="0"/>
        <w:keepLines w:val="0"/>
        <w:pageBreakBefore w:val="0"/>
        <w:widowControl w:val="0"/>
        <w:numPr>
          <w:ilvl w:val="0"/>
          <w:numId w:val="0"/>
        </w:numPr>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实时图传质量：遥控器：</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 路 1080p/30fps</w:t>
      </w:r>
    </w:p>
    <w:p>
      <w:pPr>
        <w:keepNext w:val="0"/>
        <w:keepLines w:val="0"/>
        <w:pageBreakBefore w:val="0"/>
        <w:widowControl w:val="0"/>
        <w:numPr>
          <w:ilvl w:val="0"/>
          <w:numId w:val="0"/>
        </w:numPr>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2、最大信号有效距离（无干扰、无遮挡）：40 公里（FCC）20 公里（CE/SRRC/MIC）</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3、最大信号有效距离（有干扰）：强干扰（密集楼宇、居民区等）：约 1.5 至 6 公里，中干扰（城郊县城、城市公园等）：约 6 至 15 公里，弱干扰（远郊野外、开阔农田等）：约 15 至 40 公里</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4、带充电箱，充电时间220 伏：45 分钟（极速模式）；110 分钟（静音模式）</w:t>
      </w:r>
    </w:p>
    <w:p>
      <w:pPr>
        <w:keepNext w:val="0"/>
        <w:keepLines w:val="0"/>
        <w:pageBreakBefore w:val="0"/>
        <w:widowControl w:val="0"/>
        <w:kinsoku/>
        <w:wordWrap/>
        <w:overflowPunct/>
        <w:topLinePunct w:val="0"/>
        <w:autoSpaceDE/>
        <w:autoSpaceDN/>
        <w:bidi w:val="0"/>
        <w:spacing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保险：</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含1年无人机保险及100万三者险。</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（二）机载高清多功能云台相机</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云台参数：</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1、稳定系统：3 轴（俯仰，横滚，平移）</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2、机械角度范围：俯仰：-132.5° 至 73°，横滚：±60°，平移：±328°</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 xml:space="preserve">3、可控转动范围：俯仰：-120° 至 60°，平移：±320° </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相机参数：</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1、镜头：焦距：24 mm（等效焦距：52 mm），光圈：f/0.95，DFOV：45.2°</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2、数字变焦等效倍数：32 倍</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3、视频分辨率：</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1280 × 1024@30fps</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4、照片分辨率：</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1280 × 1024</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保险：</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含1年云台相机保险。</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（三）机载水质采样系统</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1、尺寸小于250×92×100毫米（长×宽×高），质量＜750g，可搭载1L水量；</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2、主要材质为ABS工程塑料、铝合金与镁铝合金，其中转接环外壳、快拆支架、快拆式滑轨、绞盘系统主体均为铝合金或镁铝合金，提供更好的结构强度与散热效果；</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3、电路板上部分核心器件（如毫米波雷达等）经过防潮、防尘、防腐蚀处理，适应高湿度及腐蚀性环境（如海面），延长设备寿命，适应更严苛的使用场景；</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4、绞盘内线绳总长：＜10.5米；</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5、应具备线绳拉力监测功能，线绳拉力不足时（例如采样容器未挂载），自动停止收放以避免线绳反卷或打结；</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6、应具备容器触底（如河床）监测与保护功能，自动停止下放线绳并提示异常，避免无效采样与线绳反卷；</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7、应具备线绳反卷监测与保护功能，实时监测线绳运动方向与状态是否相符，如遇异常自动停止保护并提示异常；</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8、应具备电机堵转保护功能，在过载时自动停止电门输入，保护电机；</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9、应具备绞盘里程计功能，记录绞盘累积运动距离，便于规划绞盘系统保养；</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10、应具备一键校准线绳长度/理线功能；</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11、应具备紧急断绳功能，当容器被卡住时，可在10s内快速熔断线绳，拯救无人机与迅汲主体，以减轻损失；</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12、支持PSDK，可由USB-C供电口通过PSDK转接环与无人机建立通信；</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13、支持全自动航点采样，通过航点规划，实现一键全自动起飞、飞抵目标采样点、定深采样、返航降落，便于对兴趣点重复采样；</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14、支持显示设备的实时工作状态，包括水面距离、采样容器升降速度、当前电门百分比、当前释放的绳长等信息；</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15、支持对设备进行控制，包括采样深度、开始采样与放弃采样（全自动模式下）、上升与下降（手动模式下）、校准绳长等；</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（四）无人机平台备用电池</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容量：</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20254 毫安时</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ascii="仿宋_GB2312" w:hAnsi="仿宋_GB2312" w:eastAsia="仿宋_GB2312" w:cs="仿宋_GB2312"/>
          <w:sz w:val="28"/>
          <w:szCs w:val="28"/>
          <w:highlight w:val="none"/>
        </w:rPr>
        <w:t>标准电压：</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48.23 伏</w:t>
      </w:r>
    </w:p>
    <w:p>
      <w:pPr>
        <w:pStyle w:val="3"/>
        <w:keepNext w:val="0"/>
        <w:keepLines w:val="0"/>
        <w:pageBreakBefore w:val="0"/>
        <w:widowControl w:val="0"/>
        <w:kinsoku/>
        <w:wordWrap/>
        <w:overflowPunct/>
        <w:topLinePunct w:val="0"/>
        <w:autoSpaceDE/>
        <w:autoSpaceDN/>
        <w:bidi w:val="0"/>
        <w:spacing w:after="0" w:line="42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ascii="仿宋_GB2312" w:hAnsi="仿宋_GB2312" w:eastAsia="仿宋_GB2312" w:cs="仿宋_GB2312"/>
          <w:sz w:val="28"/>
          <w:szCs w:val="28"/>
          <w:highlight w:val="none"/>
        </w:rPr>
        <w:t>能量：</w:t>
      </w:r>
      <w:r>
        <w:rPr>
          <w:rFonts w:hint="eastAsia" w:ascii="仿宋_GB2312" w:hAnsi="仿宋_GB2312" w:eastAsia="仿宋_GB2312" w:cs="仿宋_GB2312"/>
          <w:sz w:val="28"/>
          <w:szCs w:val="28"/>
          <w:highlight w:val="none"/>
          <w:lang w:val="en-US" w:eastAsia="zh-CN"/>
        </w:rPr>
        <w:t>≥</w:t>
      </w:r>
      <w:r>
        <w:rPr>
          <w:rFonts w:ascii="仿宋_GB2312" w:hAnsi="仿宋_GB2312" w:eastAsia="仿宋_GB2312" w:cs="仿宋_GB2312"/>
          <w:sz w:val="28"/>
          <w:szCs w:val="28"/>
          <w:highlight w:val="none"/>
        </w:rPr>
        <w:t>977 瓦时</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r>
        <w:rPr>
          <w:rFonts w:ascii="仿宋_GB2312" w:hAnsi="仿宋_GB2312" w:eastAsia="仿宋_GB2312" w:cs="仿宋_GB2312"/>
          <w:sz w:val="28"/>
          <w:szCs w:val="28"/>
          <w:highlight w:val="none"/>
        </w:rPr>
        <w:t>重量：4720 ± 20 克</w:t>
      </w:r>
    </w:p>
    <w:p>
      <w:pPr>
        <w:pStyle w:val="8"/>
        <w:keepNext w:val="0"/>
        <w:keepLines w:val="0"/>
        <w:pageBreakBefore w:val="0"/>
        <w:widowControl w:val="0"/>
        <w:kinsoku/>
        <w:wordWrap/>
        <w:overflowPunct/>
        <w:topLinePunct w:val="0"/>
        <w:autoSpaceDE/>
        <w:autoSpaceDN/>
        <w:bidi w:val="0"/>
        <w:spacing w:after="0" w:line="420" w:lineRule="exact"/>
        <w:ind w:firstLine="560" w:firstLineChars="200"/>
        <w:jc w:val="both"/>
        <w:textAlignment w:val="auto"/>
        <w:rPr>
          <w:rFonts w:hint="eastAsia" w:ascii="黑体" w:hAnsi="黑体" w:eastAsia="黑体" w:cs="仿宋_GB2312"/>
          <w:sz w:val="28"/>
          <w:szCs w:val="28"/>
          <w:highlight w:val="none"/>
        </w:rPr>
      </w:pPr>
      <w:r>
        <w:rPr>
          <w:rFonts w:hint="eastAsia" w:ascii="黑体" w:hAnsi="黑体" w:eastAsia="黑体" w:cs="仿宋_GB2312"/>
          <w:sz w:val="28"/>
          <w:szCs w:val="28"/>
          <w:highlight w:val="none"/>
        </w:rPr>
        <w:t>（五）</w:t>
      </w:r>
      <w:r>
        <w:rPr>
          <w:rFonts w:hint="eastAsia" w:ascii="黑体" w:hAnsi="黑体" w:eastAsia="黑体" w:cs="仿宋_GB2312"/>
          <w:sz w:val="28"/>
          <w:szCs w:val="28"/>
          <w:highlight w:val="none"/>
        </w:rPr>
        <w:t>考证培训</w:t>
      </w:r>
    </w:p>
    <w:p>
      <w:pPr>
        <w:keepNext w:val="0"/>
        <w:keepLines w:val="0"/>
        <w:pageBreakBefore w:val="0"/>
        <w:widowControl w:val="0"/>
        <w:kinsoku/>
        <w:wordWrap/>
        <w:overflowPunct/>
        <w:topLinePunct w:val="0"/>
        <w:autoSpaceDE/>
        <w:autoSpaceDN/>
        <w:bidi w:val="0"/>
        <w:spacing w:line="420" w:lineRule="exact"/>
        <w:ind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民用无人驾驶航空器操控员执照-中型无人机操控员执照-超视距-多旋翼。</w:t>
      </w:r>
      <w:r>
        <w:rPr>
          <w:rFonts w:hint="eastAsia" w:ascii="仿宋_GB2312" w:hAnsi="仿宋_GB2312" w:eastAsia="仿宋_GB2312" w:cs="仿宋_GB2312"/>
          <w:sz w:val="28"/>
          <w:szCs w:val="28"/>
          <w:highlight w:val="none"/>
        </w:rPr>
        <w:t>提供不少于8人的培训和考证。</w:t>
      </w:r>
    </w:p>
    <w:p>
      <w:pPr>
        <w:pStyle w:val="8"/>
        <w:spacing w:line="460" w:lineRule="exact"/>
        <w:jc w:val="both"/>
        <w:rPr>
          <w:rFonts w:hint="eastAsia" w:ascii="仿宋_GB2312" w:hAnsi="仿宋_GB2312" w:eastAsia="仿宋_GB2312" w:cs="仿宋_GB2312"/>
          <w:sz w:val="28"/>
          <w:szCs w:val="28"/>
          <w:highlight w:val="none"/>
        </w:rPr>
      </w:pPr>
      <w:bookmarkStart w:id="2" w:name="_GoBack"/>
      <w:bookmarkEnd w:id="2"/>
    </w:p>
    <w:p>
      <w:pPr>
        <w:pStyle w:val="8"/>
        <w:jc w:val="both"/>
        <w:rPr>
          <w:rFonts w:hint="eastAsia" w:ascii="仿宋" w:hAnsi="仿宋" w:eastAsia="仿宋" w:cs="仿宋"/>
          <w:b/>
          <w:spacing w:val="-8"/>
          <w:kern w:val="0"/>
          <w:sz w:val="24"/>
          <w:szCs w:val="22"/>
          <w:highlight w:val="none"/>
          <w:lang w:val="zh-CN"/>
        </w:rPr>
      </w:pPr>
      <w:r>
        <w:rPr>
          <w:rFonts w:hint="eastAsia" w:ascii="黑体" w:hAnsi="黑体" w:eastAsia="黑体" w:cs="仿宋_GB2312"/>
          <w:sz w:val="28"/>
          <w:szCs w:val="28"/>
          <w:highlight w:val="none"/>
        </w:rPr>
        <w:t>二、评分标准</w:t>
      </w:r>
    </w:p>
    <w:tbl>
      <w:tblPr>
        <w:tblStyle w:val="10"/>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41"/>
        <w:gridCol w:w="642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评估要素</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主要评估内容</w:t>
            </w:r>
          </w:p>
        </w:tc>
        <w:tc>
          <w:tcPr>
            <w:tcW w:w="9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投标报价</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评标价最低的作为评标基准价，其价格分为满分。其他投标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人的得分按照下列公式计算：报价分=（评标基准价／投标报价）×</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0%×100 </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产品</w:t>
            </w:r>
            <w:r>
              <w:rPr>
                <w:rFonts w:hint="eastAsia" w:ascii="仿宋_GB2312" w:hAnsi="仿宋_GB2312" w:eastAsia="仿宋_GB2312" w:cs="仿宋_GB2312"/>
                <w:sz w:val="24"/>
                <w:szCs w:val="24"/>
                <w:highlight w:val="none"/>
                <w:lang w:eastAsia="zh-CN"/>
              </w:rPr>
              <w:t>参数</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设备的选型和配置--投标人或设备整机生产厂商所提供的设备技术规格参数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1）系统各主要设备的选型是否符合要求；（2）各主要技术参数是否能够确保实现系统的预期使用功能；（3）能否与相关的系统、设备的技术参数相匹配。*号标注的参数或技术要求有一条不满足的，扣2分。非*号标注的参数或技术要求有一条不满足的，扣0.5分。如存在多项（或多条）不满足技术参数要求，依次累计扣分，直至本评标小项分数扣完为止，但仍视为有效标。投标人需要提供设备产品的检验检测报告或者产品质量书或者设备产品说明书或者设备产品彩色介绍或者产品技术手册等证明材料来佐证设备技术参数的符合性，上述证明材料中需要体现设备产品需求对应的技术参数及要求。</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培训方案</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highlight w:val="none"/>
              </w:rPr>
              <w:t>提供AOPA民用无人机驾驶员训练机构合格证、民用无人驾驶航空器运营合格证及培训方案，</w:t>
            </w:r>
            <w:r>
              <w:rPr>
                <w:rFonts w:hint="eastAsia" w:ascii="仿宋_GB2312" w:hAnsi="仿宋_GB2312" w:eastAsia="仿宋_GB2312" w:cs="仿宋_GB2312"/>
                <w:highlight w:val="none"/>
              </w:rPr>
              <w:t>包括课程设计、师资配备、飞行场地保障、后勤安排、安全应急预案等，得6-9分；较好得3-5分；一般得1-2分。拟投入本项目的人员，教员有CAAC无人机操控员教员执照及投标公司对其缴纳社保半年及以上，1人1分，最多得3分。</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对项目</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理 解及技术实 施方案</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对项目总体</w:t>
            </w:r>
            <w:r>
              <w:rPr>
                <w:rFonts w:hint="eastAsia" w:ascii="仿宋_GB2312" w:hAnsi="仿宋_GB2312" w:eastAsia="仿宋_GB2312" w:cs="仿宋_GB2312"/>
                <w:sz w:val="24"/>
                <w:szCs w:val="24"/>
                <w:highlight w:val="none"/>
                <w:lang w:eastAsia="zh-CN"/>
              </w:rPr>
              <w:t>要求</w:t>
            </w:r>
            <w:r>
              <w:rPr>
                <w:rFonts w:hint="eastAsia" w:ascii="仿宋_GB2312" w:hAnsi="仿宋_GB2312" w:eastAsia="仿宋_GB2312" w:cs="仿宋_GB2312"/>
                <w:sz w:val="24"/>
                <w:szCs w:val="24"/>
                <w:highlight w:val="none"/>
              </w:rPr>
              <w:t>；项目难点分析及采取对策；方案内容具体、齐全，技术方案有针对性、操作性强，并切合实际保证措施完善进行综合评分</w:t>
            </w:r>
            <w:r>
              <w:rPr>
                <w:rFonts w:hint="eastAsia" w:ascii="仿宋_GB2312" w:hAnsi="仿宋_GB2312" w:eastAsia="仿宋_GB2312" w:cs="仿宋_GB2312"/>
                <w:sz w:val="24"/>
                <w:szCs w:val="24"/>
                <w:highlight w:val="none"/>
                <w:lang w:eastAsia="zh-CN"/>
              </w:rPr>
              <w:t>，好的得</w:t>
            </w:r>
            <w:r>
              <w:rPr>
                <w:rFonts w:hint="eastAsia" w:ascii="仿宋_GB2312" w:hAnsi="仿宋_GB2312" w:eastAsia="仿宋_GB2312" w:cs="仿宋_GB2312"/>
                <w:sz w:val="24"/>
                <w:szCs w:val="24"/>
                <w:highlight w:val="none"/>
                <w:lang w:val="en-US" w:eastAsia="zh-CN"/>
              </w:rPr>
              <w:t>7-9</w:t>
            </w:r>
            <w:r>
              <w:rPr>
                <w:rFonts w:hint="eastAsia" w:ascii="仿宋_GB2312" w:hAnsi="仿宋_GB2312" w:eastAsia="仿宋_GB2312" w:cs="仿宋_GB2312"/>
                <w:sz w:val="24"/>
                <w:szCs w:val="24"/>
                <w:highlight w:val="none"/>
                <w:lang w:eastAsia="zh-CN"/>
              </w:rPr>
              <w:t>分，较好得</w:t>
            </w:r>
            <w:r>
              <w:rPr>
                <w:rFonts w:hint="eastAsia" w:ascii="仿宋_GB2312" w:hAnsi="仿宋_GB2312" w:eastAsia="仿宋_GB2312" w:cs="仿宋_GB2312"/>
                <w:sz w:val="24"/>
                <w:szCs w:val="24"/>
                <w:highlight w:val="none"/>
                <w:lang w:val="en-US" w:eastAsia="zh-CN"/>
              </w:rPr>
              <w:t>4-6</w:t>
            </w:r>
            <w:r>
              <w:rPr>
                <w:rFonts w:hint="eastAsia" w:ascii="仿宋_GB2312" w:hAnsi="仿宋_GB2312" w:eastAsia="仿宋_GB2312" w:cs="仿宋_GB2312"/>
                <w:sz w:val="24"/>
                <w:szCs w:val="24"/>
                <w:highlight w:val="none"/>
                <w:lang w:eastAsia="zh-CN"/>
              </w:rPr>
              <w:t>分，一般得1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售后承诺服务</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根据投标人提供的售后服务体系，售后服务承诺的程度（保修期、保修响应时间的长短、产品维护方式和时间、备件支持等）进行综合评分；</w:t>
            </w:r>
            <w:r>
              <w:rPr>
                <w:rFonts w:hint="eastAsia" w:ascii="仿宋_GB2312" w:hAnsi="仿宋_GB2312" w:eastAsia="仿宋_GB2312" w:cs="仿宋_GB2312"/>
                <w:sz w:val="24"/>
                <w:szCs w:val="24"/>
                <w:highlight w:val="none"/>
                <w:lang w:eastAsia="zh-CN"/>
              </w:rPr>
              <w:t>好的得</w:t>
            </w:r>
            <w:r>
              <w:rPr>
                <w:rFonts w:hint="eastAsia" w:ascii="仿宋_GB2312" w:hAnsi="仿宋_GB2312" w:eastAsia="仿宋_GB2312" w:cs="仿宋_GB2312"/>
                <w:sz w:val="24"/>
                <w:szCs w:val="24"/>
                <w:highlight w:val="none"/>
                <w:lang w:val="en-US" w:eastAsia="zh-CN"/>
              </w:rPr>
              <w:t>7-9</w:t>
            </w:r>
            <w:r>
              <w:rPr>
                <w:rFonts w:hint="eastAsia" w:ascii="仿宋_GB2312" w:hAnsi="仿宋_GB2312" w:eastAsia="仿宋_GB2312" w:cs="仿宋_GB2312"/>
                <w:sz w:val="24"/>
                <w:szCs w:val="24"/>
                <w:highlight w:val="none"/>
                <w:lang w:eastAsia="zh-CN"/>
              </w:rPr>
              <w:t>分，较好得</w:t>
            </w:r>
            <w:r>
              <w:rPr>
                <w:rFonts w:hint="eastAsia" w:ascii="仿宋_GB2312" w:hAnsi="仿宋_GB2312" w:eastAsia="仿宋_GB2312" w:cs="仿宋_GB2312"/>
                <w:sz w:val="24"/>
                <w:szCs w:val="24"/>
                <w:highlight w:val="none"/>
                <w:lang w:val="en-US" w:eastAsia="zh-CN"/>
              </w:rPr>
              <w:t>4-6</w:t>
            </w:r>
            <w:r>
              <w:rPr>
                <w:rFonts w:hint="eastAsia" w:ascii="仿宋_GB2312" w:hAnsi="仿宋_GB2312" w:eastAsia="仿宋_GB2312" w:cs="仿宋_GB2312"/>
                <w:sz w:val="24"/>
                <w:szCs w:val="24"/>
                <w:highlight w:val="none"/>
                <w:lang w:eastAsia="zh-CN"/>
              </w:rPr>
              <w:t>分，一般得1</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分</w:t>
            </w:r>
            <w:r>
              <w:rPr>
                <w:rFonts w:hint="eastAsia" w:ascii="仿宋_GB2312" w:hAnsi="仿宋_GB2312" w:eastAsia="仿宋_GB2312" w:cs="仿宋_GB2312"/>
                <w:sz w:val="24"/>
                <w:szCs w:val="24"/>
                <w:highlight w:val="none"/>
              </w:rPr>
              <w:t>。</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类似业绩</w:t>
            </w:r>
          </w:p>
        </w:tc>
        <w:tc>
          <w:tcPr>
            <w:tcW w:w="6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企业近</w:t>
            </w:r>
            <w:r>
              <w:rPr>
                <w:rFonts w:hint="eastAsia" w:ascii="仿宋_GB2312" w:hAnsi="仿宋_GB2312" w:eastAsia="仿宋_GB2312" w:cs="仿宋_GB2312"/>
                <w:sz w:val="24"/>
                <w:szCs w:val="24"/>
                <w:highlight w:val="none"/>
                <w:lang w:eastAsia="zh-CN"/>
              </w:rPr>
              <w:t>三</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rPr>
              <w:t>来，类似供货业绩每提供一项得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分。所提供的合同可以不牵涉到金额等相关商业机密信息，但必须提供合同双方签署页及合同签署双方</w:t>
            </w:r>
            <w:r>
              <w:rPr>
                <w:rFonts w:hint="eastAsia" w:ascii="仿宋_GB2312" w:hAnsi="仿宋_GB2312" w:eastAsia="仿宋_GB2312" w:cs="仿宋_GB2312"/>
                <w:sz w:val="24"/>
                <w:szCs w:val="24"/>
                <w:highlight w:val="none"/>
                <w:lang w:eastAsia="zh-CN"/>
              </w:rPr>
              <w:t>的完整</w:t>
            </w:r>
            <w:r>
              <w:rPr>
                <w:rFonts w:hint="eastAsia" w:ascii="仿宋_GB2312" w:hAnsi="仿宋_GB2312" w:eastAsia="仿宋_GB2312" w:cs="仿宋_GB2312"/>
                <w:sz w:val="24"/>
                <w:szCs w:val="24"/>
                <w:highlight w:val="none"/>
              </w:rPr>
              <w:t>信息，具体时间以合同签订日期或中标通知书落款日期为准，否则业绩无效。项目</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同时满足：</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培训人数5人及以上且为行业无人机应用培训，每一份加</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最多得</w:t>
            </w:r>
            <w:r>
              <w:rPr>
                <w:rFonts w:hint="eastAsia" w:ascii="仿宋_GB2312" w:hAnsi="仿宋_GB2312" w:eastAsia="仿宋_GB2312" w:cs="仿宋_GB2312"/>
                <w:sz w:val="24"/>
                <w:szCs w:val="24"/>
                <w:highlight w:val="none"/>
                <w:lang w:val="en-US" w:eastAsia="zh-CN"/>
              </w:rPr>
              <w:t>3分</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r>
              <w:rPr>
                <w:rFonts w:hint="eastAsia" w:ascii="仿宋_GB2312" w:hAnsi="仿宋_GB2312" w:eastAsia="仿宋_GB2312" w:cs="仿宋_GB2312"/>
                <w:sz w:val="24"/>
                <w:szCs w:val="24"/>
                <w:highlight w:val="none"/>
              </w:rPr>
              <w:t>分</w:t>
            </w:r>
          </w:p>
        </w:tc>
      </w:tr>
    </w:tbl>
    <w:p>
      <w:pPr>
        <w:pStyle w:val="8"/>
        <w:jc w:val="both"/>
        <w:rPr>
          <w:rFonts w:hint="eastAsia" w:ascii="仿宋" w:hAnsi="仿宋" w:eastAsia="仿宋" w:cs="仿宋"/>
          <w:b/>
          <w:spacing w:val="-8"/>
          <w:kern w:val="0"/>
          <w:sz w:val="24"/>
          <w:szCs w:val="22"/>
          <w:highlight w:val="none"/>
          <w:lang w:val="zh-CN"/>
        </w:rPr>
      </w:pPr>
    </w:p>
    <w:sectPr>
      <w:pgSz w:w="11906" w:h="16838"/>
      <w:pgMar w:top="1667" w:right="1689" w:bottom="1667"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81"/>
    <w:rsid w:val="0005422A"/>
    <w:rsid w:val="00065CD2"/>
    <w:rsid w:val="000A7745"/>
    <w:rsid w:val="002A66BD"/>
    <w:rsid w:val="00325381"/>
    <w:rsid w:val="00402CAF"/>
    <w:rsid w:val="004672FB"/>
    <w:rsid w:val="006C6561"/>
    <w:rsid w:val="0071756A"/>
    <w:rsid w:val="00752001"/>
    <w:rsid w:val="007937A7"/>
    <w:rsid w:val="008F6097"/>
    <w:rsid w:val="009732AE"/>
    <w:rsid w:val="00985EDF"/>
    <w:rsid w:val="00B648ED"/>
    <w:rsid w:val="00CD322A"/>
    <w:rsid w:val="00D16B15"/>
    <w:rsid w:val="00E27E9A"/>
    <w:rsid w:val="00ED1A6B"/>
    <w:rsid w:val="00F66486"/>
    <w:rsid w:val="00FC219D"/>
    <w:rsid w:val="00FE2FE3"/>
    <w:rsid w:val="1A7C7EB4"/>
    <w:rsid w:val="1BDB1025"/>
    <w:rsid w:val="36C65800"/>
    <w:rsid w:val="39AF9C87"/>
    <w:rsid w:val="3A7F9086"/>
    <w:rsid w:val="3E1FC0FC"/>
    <w:rsid w:val="3F4E7BB5"/>
    <w:rsid w:val="3FFB572E"/>
    <w:rsid w:val="40D82166"/>
    <w:rsid w:val="41A72F05"/>
    <w:rsid w:val="5F7F2EBC"/>
    <w:rsid w:val="6D61120E"/>
    <w:rsid w:val="769F0687"/>
    <w:rsid w:val="77CFD480"/>
    <w:rsid w:val="7BEF7E21"/>
    <w:rsid w:val="7CF3C31A"/>
    <w:rsid w:val="7D9750C0"/>
    <w:rsid w:val="7EEB8AD5"/>
    <w:rsid w:val="7EF746A3"/>
    <w:rsid w:val="7F26A524"/>
    <w:rsid w:val="7F733035"/>
    <w:rsid w:val="7F7D9D98"/>
    <w:rsid w:val="7FE359DC"/>
    <w:rsid w:val="7FF50F6D"/>
    <w:rsid w:val="7FFF92D2"/>
    <w:rsid w:val="B73F9308"/>
    <w:rsid w:val="BBBF39C5"/>
    <w:rsid w:val="BFF76418"/>
    <w:rsid w:val="C5BF3BF5"/>
    <w:rsid w:val="CEFDA68E"/>
    <w:rsid w:val="CFBF0BC6"/>
    <w:rsid w:val="DEF7C65A"/>
    <w:rsid w:val="EFFC4482"/>
    <w:rsid w:val="EFFF7F97"/>
    <w:rsid w:val="F6BF2D3F"/>
    <w:rsid w:val="F7FF4210"/>
    <w:rsid w:val="FDFFA9C9"/>
    <w:rsid w:val="FEED8C4B"/>
    <w:rsid w:val="FF2FC78B"/>
    <w:rsid w:val="FFC7AC8B"/>
    <w:rsid w:val="FFFF9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center"/>
    </w:pPr>
    <w:rPr>
      <w:rFonts w:ascii="Calibri" w:hAnsi="Calibri" w:eastAsia="宋体" w:cs="Times New Roman"/>
      <w:kern w:val="2"/>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3">
    <w:name w:val="Normal Indent"/>
    <w:basedOn w:val="1"/>
    <w:qFormat/>
    <w:uiPriority w:val="0"/>
    <w:pPr>
      <w:spacing w:after="160" w:line="259" w:lineRule="auto"/>
      <w:ind w:firstLine="200" w:firstLineChars="200"/>
      <w:jc w:val="both"/>
    </w:pPr>
    <w:rPr>
      <w:sz w:val="21"/>
    </w:rPr>
  </w:style>
  <w:style w:type="paragraph" w:styleId="4">
    <w:name w:val="annotation text"/>
    <w:basedOn w:val="1"/>
    <w:semiHidden/>
    <w:unhideWhenUsed/>
    <w:qFormat/>
    <w:uiPriority w:val="99"/>
    <w:pPr>
      <w:jc w:val="left"/>
    </w:pPr>
  </w:style>
  <w:style w:type="paragraph" w:styleId="5">
    <w:name w:val="Body Text"/>
    <w:basedOn w:val="1"/>
    <w:next w:val="6"/>
    <w:qFormat/>
    <w:uiPriority w:val="99"/>
    <w:pPr>
      <w:spacing w:after="120"/>
    </w:pPr>
  </w:style>
  <w:style w:type="paragraph" w:styleId="6">
    <w:name w:val="Body Text First Indent"/>
    <w:basedOn w:val="5"/>
    <w:qFormat/>
    <w:uiPriority w:val="99"/>
    <w:pPr>
      <w:ind w:firstLine="420" w:firstLineChars="100"/>
    </w:pPr>
    <w:rPr>
      <w:kern w:val="0"/>
      <w:sz w:val="20"/>
      <w:szCs w:val="20"/>
    </w:rPr>
  </w:style>
  <w:style w:type="paragraph" w:styleId="7">
    <w:name w:val="header"/>
    <w:basedOn w:val="1"/>
    <w:link w:val="14"/>
    <w:unhideWhenUsed/>
    <w:qFormat/>
    <w:uiPriority w:val="99"/>
    <w:pPr>
      <w:tabs>
        <w:tab w:val="center" w:pos="4153"/>
        <w:tab w:val="right" w:pos="8306"/>
      </w:tabs>
      <w:snapToGrid w:val="0"/>
      <w:spacing w:line="240" w:lineRule="auto"/>
    </w:pPr>
    <w:rPr>
      <w:sz w:val="18"/>
      <w:szCs w:val="18"/>
    </w:rPr>
  </w:style>
  <w:style w:type="paragraph" w:styleId="8">
    <w:name w:val="Body Text 2"/>
    <w:basedOn w:val="1"/>
    <w:unhideWhenUsed/>
    <w:qFormat/>
    <w:uiPriority w:val="0"/>
    <w:pPr>
      <w:spacing w:after="120" w:line="480" w:lineRule="auto"/>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next w:val="5"/>
    <w:qFormat/>
    <w:uiPriority w:val="0"/>
    <w:pPr>
      <w:snapToGrid w:val="0"/>
      <w:spacing w:before="120"/>
    </w:pPr>
    <w:rPr>
      <w:szCs w:val="20"/>
      <w:lang w:bidi="he-IL"/>
    </w:rPr>
  </w:style>
  <w:style w:type="character" w:customStyle="1" w:styleId="14">
    <w:name w:val="页眉 字符"/>
    <w:basedOn w:val="12"/>
    <w:link w:val="7"/>
    <w:qFormat/>
    <w:uiPriority w:val="99"/>
    <w:rPr>
      <w:rFonts w:cs="Times New Roman"/>
      <w:kern w:val="2"/>
      <w:sz w:val="18"/>
      <w:szCs w:val="18"/>
    </w:rPr>
  </w:style>
  <w:style w:type="character" w:customStyle="1" w:styleId="15">
    <w:name w:val="页脚 字符"/>
    <w:basedOn w:val="12"/>
    <w:link w:val="2"/>
    <w:qFormat/>
    <w:uiPriority w:val="99"/>
    <w:rPr>
      <w:rFonts w:cs="Times New Roman"/>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2112</Words>
  <Characters>2335</Characters>
  <Lines>76</Lines>
  <Paragraphs>94</Paragraphs>
  <TotalTime>0</TotalTime>
  <ScaleCrop>false</ScaleCrop>
  <LinksUpToDate>false</LinksUpToDate>
  <CharactersWithSpaces>2411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2025-12-15T11:58:00Z</dcterms:created>
  <dc:creator>Administrator</dc:creator>
  <cp:lastModifiedBy>user</cp:lastModifiedBy>
  <dcterms:modified xsi:type="dcterms:W3CDTF">2026-01-08T16:30:30Z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45B18E9D50F38B8B1A1F5A698B615EEE</vt:lpwstr>
  </property>
  <property fmtid="{D5CDD505-2E9C-101B-9397-08002B2CF9AE}" pid="4" name="KSOTemplateDocerSaveRecord">
    <vt:lpwstr>eyJoZGlkIjoiNDQzMDdlZTExNTRhZmYwZmJlMThlYTRlNDY4NzYyNjMiLCJ1c2VySWQiOiIxMjQ3NTY4MjIyIn0=</vt:lpwstr>
  </property>
</Properties>
</file>